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spacing w:before="340" w:after="330"/>
        <w:ind w:firstLine="1767" w:firstLineChars="400"/>
        <w:rPr>
          <w:szCs w:val="44"/>
        </w:rPr>
      </w:pPr>
      <w:r>
        <w:rPr>
          <w:szCs w:val="44"/>
          <w:lang w:val="en-US" w:eastAsia="zh-CN"/>
        </w:rPr>
        <w:t>7</w:t>
      </w:r>
      <w:r>
        <w:rPr>
          <w:szCs w:val="44"/>
        </w:rPr>
        <w:t>月</w:t>
      </w:r>
      <w:r>
        <w:rPr>
          <w:rFonts w:hint="eastAsia"/>
          <w:szCs w:val="44"/>
          <w:lang w:val="en-US" w:eastAsia="zh-CN"/>
        </w:rPr>
        <w:t>8</w:t>
      </w:r>
      <w:r>
        <w:rPr>
          <w:szCs w:val="44"/>
          <w:lang w:val="en-US" w:eastAsia="zh-CN"/>
        </w:rPr>
        <w:t>日</w:t>
      </w:r>
      <w:r>
        <w:rPr>
          <w:szCs w:val="44"/>
        </w:rPr>
        <w:t>城区空气质量日报表</w:t>
      </w:r>
    </w:p>
    <w:p>
      <w:pPr>
        <w:pStyle w:val="5"/>
        <w:bidi w:val="0"/>
        <w:jc w:val="right"/>
        <w:rPr>
          <w:szCs w:val="21"/>
        </w:rPr>
      </w:pPr>
      <w:r>
        <w:rPr>
          <w:szCs w:val="21"/>
        </w:rPr>
        <w:t>填报单位：泌阳县环境监控</w:t>
      </w:r>
      <w:r>
        <w:rPr>
          <w:szCs w:val="21"/>
          <w:lang w:eastAsia="zh-CN"/>
        </w:rPr>
        <w:t>办</w:t>
      </w:r>
      <w:r>
        <w:rPr>
          <w:szCs w:val="21"/>
        </w:rPr>
        <w:t xml:space="preserve">                            </w:t>
      </w:r>
      <w:r>
        <w:rPr>
          <w:szCs w:val="21"/>
          <w:lang w:val="en-US" w:eastAsia="zh-CN"/>
        </w:rPr>
        <w:t xml:space="preserve">      </w:t>
      </w:r>
      <w:r>
        <w:rPr>
          <w:szCs w:val="21"/>
        </w:rPr>
        <w:t xml:space="preserve">填报日期: </w:t>
      </w:r>
      <w:r>
        <w:rPr>
          <w:szCs w:val="21"/>
          <w:lang w:val="en-US" w:eastAsia="zh-CN"/>
        </w:rPr>
        <w:t>7</w:t>
      </w:r>
      <w:r>
        <w:rPr>
          <w:szCs w:val="21"/>
        </w:rPr>
        <w:t>月</w:t>
      </w:r>
      <w:r>
        <w:rPr>
          <w:rFonts w:hint="eastAsia"/>
          <w:szCs w:val="21"/>
          <w:lang w:val="en-US" w:eastAsia="zh-CN"/>
        </w:rPr>
        <w:t>9</w:t>
      </w:r>
      <w:bookmarkStart w:id="0" w:name="_GoBack"/>
      <w:bookmarkEnd w:id="0"/>
      <w:r>
        <w:rPr>
          <w:szCs w:val="21"/>
        </w:rPr>
        <w:t>日</w:t>
      </w:r>
    </w:p>
    <w:tbl>
      <w:tblPr>
        <w:tblStyle w:val="3"/>
        <w:tblW w:w="899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15"/>
        <w:gridCol w:w="1080"/>
        <w:gridCol w:w="1005"/>
        <w:gridCol w:w="600"/>
        <w:gridCol w:w="855"/>
        <w:gridCol w:w="938"/>
        <w:gridCol w:w="887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70" w:type="dxa"/>
            <w:vMerge w:val="restart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昨天数值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</w:p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全省</w:t>
            </w:r>
          </w:p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排名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</w:p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全市</w:t>
            </w:r>
          </w:p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排名</w:t>
            </w:r>
          </w:p>
        </w:tc>
        <w:tc>
          <w:tcPr>
            <w:tcW w:w="4520" w:type="dxa"/>
            <w:gridSpan w:val="5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本月累计同比改善程度及排名情况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0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综合</w:t>
            </w:r>
          </w:p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指数</w:t>
            </w:r>
          </w:p>
        </w:tc>
        <w:tc>
          <w:tcPr>
            <w:tcW w:w="855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全省排名</w:t>
            </w:r>
          </w:p>
        </w:tc>
        <w:tc>
          <w:tcPr>
            <w:tcW w:w="1240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全市排名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70" w:type="dxa"/>
            <w:vMerge w:val="restart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AQI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eastAsia="宋体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42</w:t>
            </w:r>
            <w:r>
              <w:rPr>
                <w:b/>
                <w:bCs/>
                <w:color w:val="FF0000"/>
                <w:lang w:val="en-US" w:eastAsia="zh-CN"/>
              </w:rPr>
              <w:t>（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优</w:t>
            </w:r>
            <w:r>
              <w:rPr>
                <w:b/>
                <w:bCs/>
                <w:color w:val="FF0000"/>
                <w:lang w:val="en-US" w:eastAsia="zh-CN"/>
              </w:rPr>
              <w:t>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18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数值</w:t>
            </w:r>
          </w:p>
        </w:tc>
        <w:tc>
          <w:tcPr>
            <w:tcW w:w="938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eastAsia="宋体"/>
                <w:bCs/>
                <w:color w:val="000000"/>
                <w:lang w:val="en-US" w:eastAsia="zh-CN"/>
              </w:rPr>
            </w:pPr>
            <w:r>
              <w:rPr>
                <w:bCs/>
                <w:color w:val="000000"/>
                <w:lang w:val="en-US" w:eastAsia="zh-CN"/>
              </w:rPr>
              <w:t>2.</w:t>
            </w:r>
            <w:r>
              <w:rPr>
                <w:rFonts w:hint="eastAsia"/>
                <w:bCs/>
                <w:color w:val="000000"/>
                <w:lang w:val="en-US" w:eastAsia="zh-CN"/>
              </w:rPr>
              <w:t>349</w:t>
            </w:r>
          </w:p>
        </w:tc>
        <w:tc>
          <w:tcPr>
            <w:tcW w:w="887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1240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color w:val="FF000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color w:val="000000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升降比</w:t>
            </w:r>
          </w:p>
        </w:tc>
        <w:tc>
          <w:tcPr>
            <w:tcW w:w="938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eastAsia="宋体"/>
                <w:bCs/>
                <w:color w:val="00000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lang w:val="en-US" w:eastAsia="zh-CN"/>
              </w:rPr>
              <w:t>+0.0</w:t>
            </w:r>
            <w:r>
              <w:rPr>
                <w:bCs/>
                <w:color w:val="000000"/>
                <w:lang w:val="en-US" w:eastAsia="zh-CN"/>
              </w:rPr>
              <w:t>%</w:t>
            </w:r>
          </w:p>
        </w:tc>
        <w:tc>
          <w:tcPr>
            <w:tcW w:w="887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11</w:t>
            </w: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PM</w:t>
            </w:r>
            <w:r>
              <w:rPr>
                <w:color w:val="000000"/>
                <w:vertAlign w:val="subscript"/>
              </w:rPr>
              <w:t>10</w:t>
            </w:r>
          </w:p>
        </w:tc>
        <w:tc>
          <w:tcPr>
            <w:tcW w:w="1515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15</w:t>
            </w:r>
          </w:p>
        </w:tc>
        <w:tc>
          <w:tcPr>
            <w:tcW w:w="1005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7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"/>
              <w:widowControl w:val="0"/>
              <w:bidi w:val="0"/>
              <w:ind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-18.8</w:t>
            </w:r>
            <w:r>
              <w:rPr>
                <w:color w:val="000000"/>
              </w:rPr>
              <w:t>%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100</w:t>
            </w:r>
          </w:p>
        </w:tc>
        <w:tc>
          <w:tcPr>
            <w:tcW w:w="1240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t>PM</w:t>
            </w:r>
            <w:r>
              <w:rPr>
                <w:vertAlign w:val="subscript"/>
              </w:rPr>
              <w:t>2.5</w:t>
            </w:r>
          </w:p>
        </w:tc>
        <w:tc>
          <w:tcPr>
            <w:tcW w:w="1515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9</w:t>
            </w:r>
          </w:p>
        </w:tc>
        <w:tc>
          <w:tcPr>
            <w:tcW w:w="1005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"/>
              <w:widowControl w:val="0"/>
              <w:bidi w:val="0"/>
              <w:ind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-11.1</w:t>
            </w:r>
            <w:r>
              <w:rPr>
                <w:color w:val="000000"/>
              </w:rPr>
              <w:t>%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112</w:t>
            </w:r>
          </w:p>
        </w:tc>
        <w:tc>
          <w:tcPr>
            <w:tcW w:w="1240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88</w:t>
            </w:r>
          </w:p>
        </w:tc>
        <w:tc>
          <w:tcPr>
            <w:tcW w:w="1005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"/>
              <w:widowControl w:val="0"/>
              <w:bidi w:val="0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+16.7</w:t>
            </w:r>
            <w:r>
              <w:rPr>
                <w:color w:val="000000"/>
              </w:rPr>
              <w:t>%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75</w:t>
            </w:r>
          </w:p>
        </w:tc>
        <w:tc>
          <w:tcPr>
            <w:tcW w:w="1240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68</w:t>
            </w:r>
          </w:p>
        </w:tc>
        <w:tc>
          <w:tcPr>
            <w:tcW w:w="1005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"/>
              <w:widowControl w:val="0"/>
              <w:bidi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 w:eastAsia="zh-CN"/>
              </w:rPr>
              <w:t>+</w:t>
            </w:r>
            <w:r>
              <w:rPr>
                <w:rFonts w:hint="eastAsia"/>
                <w:color w:val="000000"/>
                <w:lang w:val="en-US" w:eastAsia="zh-CN"/>
              </w:rPr>
              <w:t>22.2</w:t>
            </w:r>
            <w:r>
              <w:rPr>
                <w:color w:val="000000"/>
              </w:rPr>
              <w:t>%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</w:t>
            </w: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1240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t>CO</w:t>
            </w:r>
          </w:p>
        </w:tc>
        <w:tc>
          <w:tcPr>
            <w:tcW w:w="1515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eastAsia="宋体"/>
                <w:color w:val="181717"/>
                <w:lang w:val="en-US" w:eastAsia="zh-CN"/>
              </w:rPr>
            </w:pPr>
            <w:r>
              <w:rPr>
                <w:color w:val="181717"/>
                <w:lang w:val="en-US" w:eastAsia="zh-CN"/>
              </w:rPr>
              <w:t>0.</w:t>
            </w:r>
            <w:r>
              <w:rPr>
                <w:rFonts w:hint="eastAsia"/>
                <w:color w:val="181717"/>
                <w:lang w:val="en-US" w:eastAsia="zh-CN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181717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181717"/>
                <w:kern w:val="2"/>
                <w:sz w:val="21"/>
                <w:szCs w:val="24"/>
                <w:lang w:val="en-US" w:eastAsia="zh-CN" w:bidi="ar-SA"/>
              </w:rPr>
              <w:t>53</w:t>
            </w:r>
          </w:p>
        </w:tc>
        <w:tc>
          <w:tcPr>
            <w:tcW w:w="1005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181717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181717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"/>
              <w:widowControl w:val="0"/>
              <w:bidi w:val="0"/>
              <w:ind w:firstLine="0"/>
              <w:jc w:val="center"/>
              <w:rPr>
                <w:rFonts w:eastAsia="宋体"/>
                <w:color w:val="181717"/>
                <w:lang w:val="en-US" w:eastAsia="zh-CN"/>
              </w:rPr>
            </w:pPr>
            <w:r>
              <w:rPr>
                <w:bCs/>
                <w:color w:val="181717"/>
                <w:lang w:val="en-US" w:eastAsia="zh-CN"/>
              </w:rPr>
              <w:t>+</w:t>
            </w:r>
            <w:r>
              <w:rPr>
                <w:rFonts w:hint="eastAsia"/>
                <w:bCs/>
                <w:color w:val="181717"/>
                <w:lang w:val="en-US" w:eastAsia="zh-CN"/>
              </w:rPr>
              <w:t>66.7</w:t>
            </w:r>
            <w:r>
              <w:rPr>
                <w:bCs/>
                <w:color w:val="181717"/>
                <w:lang w:val="en-US" w:eastAsia="zh-CN"/>
              </w:rPr>
              <w:t>%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eastAsia="宋体"/>
                <w:color w:val="181717"/>
                <w:lang w:val="en-US" w:eastAsia="zh-CN"/>
              </w:rPr>
            </w:pPr>
            <w:r>
              <w:rPr>
                <w:color w:val="181717"/>
                <w:lang w:val="en-US" w:eastAsia="zh-CN"/>
              </w:rPr>
              <w:t>11</w:t>
            </w:r>
            <w:r>
              <w:rPr>
                <w:rFonts w:hint="eastAsia"/>
                <w:color w:val="181717"/>
                <w:lang w:val="en-US" w:eastAsia="zh-CN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70" w:type="dxa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515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eastAsia="宋体"/>
                <w:b/>
                <w:bCs/>
                <w:color w:val="181717"/>
                <w:lang w:val="en-US" w:eastAsia="zh-CN"/>
              </w:rPr>
            </w:pPr>
            <w:r>
              <w:rPr>
                <w:rFonts w:hint="eastAsia"/>
                <w:b/>
                <w:bCs/>
                <w:color w:val="181717"/>
                <w:lang w:val="en-US" w:eastAsia="zh-CN"/>
              </w:rPr>
              <w:t>84</w:t>
            </w:r>
          </w:p>
        </w:tc>
        <w:tc>
          <w:tcPr>
            <w:tcW w:w="1080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181717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181717"/>
                <w:kern w:val="2"/>
                <w:sz w:val="21"/>
                <w:szCs w:val="24"/>
                <w:lang w:val="en-US" w:eastAsia="zh-CN" w:bidi="ar-SA"/>
              </w:rPr>
              <w:t>18</w:t>
            </w:r>
          </w:p>
        </w:tc>
        <w:tc>
          <w:tcPr>
            <w:tcW w:w="1005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181717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181717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"/>
              <w:widowControl w:val="0"/>
              <w:bidi w:val="0"/>
              <w:ind w:firstLine="0"/>
              <w:jc w:val="center"/>
              <w:rPr>
                <w:rFonts w:eastAsia="宋体"/>
                <w:color w:val="181717"/>
                <w:lang w:val="en-US" w:eastAsia="zh-CN"/>
              </w:rPr>
            </w:pPr>
            <w:r>
              <w:rPr>
                <w:bCs/>
                <w:color w:val="181717"/>
                <w:lang w:val="en-US" w:eastAsia="zh-CN"/>
              </w:rPr>
              <w:t>+</w:t>
            </w:r>
            <w:r>
              <w:rPr>
                <w:rFonts w:hint="eastAsia"/>
                <w:bCs/>
                <w:color w:val="181717"/>
                <w:lang w:val="en-US" w:eastAsia="zh-CN"/>
              </w:rPr>
              <w:t>3.2</w:t>
            </w:r>
            <w:r>
              <w:rPr>
                <w:bCs/>
                <w:color w:val="181717"/>
                <w:lang w:val="en-US" w:eastAsia="zh-CN"/>
              </w:rPr>
              <w:t>%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181717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181717"/>
                <w:kern w:val="2"/>
                <w:sz w:val="21"/>
                <w:szCs w:val="24"/>
                <w:lang w:val="en-US" w:eastAsia="zh-CN" w:bidi="ar-SA"/>
              </w:rPr>
              <w:t>86</w:t>
            </w:r>
          </w:p>
        </w:tc>
        <w:tc>
          <w:tcPr>
            <w:tcW w:w="1240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hint="default" w:ascii="Calibri" w:hAnsi="Calibri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990" w:type="dxa"/>
            <w:gridSpan w:val="9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color w:val="000000"/>
              </w:rPr>
            </w:pPr>
          </w:p>
          <w:p>
            <w:pPr>
              <w:pStyle w:val="5"/>
              <w:widowControl w:val="0"/>
              <w:bidi w:val="0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202</w:t>
            </w:r>
            <w:r>
              <w:rPr>
                <w:b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b/>
                <w:bCs/>
                <w:color w:val="000000"/>
                <w:sz w:val="32"/>
                <w:szCs w:val="32"/>
              </w:rPr>
              <w:t>年度考核指标完成情况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0" w:type="dxa"/>
            <w:vMerge w:val="restart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t>优良</w:t>
            </w:r>
          </w:p>
          <w:p>
            <w:pPr>
              <w:pStyle w:val="5"/>
              <w:widowControl w:val="0"/>
              <w:bidi w:val="0"/>
              <w:jc w:val="center"/>
            </w:pPr>
            <w:r>
              <w:t>天数</w:t>
            </w:r>
          </w:p>
        </w:tc>
        <w:tc>
          <w:tcPr>
            <w:tcW w:w="1515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本月累计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pStyle w:val="5"/>
              <w:bidi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sz w:val="21"/>
                <w:szCs w:val="21"/>
              </w:rPr>
              <w:t>天（全市第1名）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  <w:lang w:val="en-US" w:eastAsia="zh-CN"/>
              </w:rPr>
              <w:t>1</w:t>
            </w:r>
            <w:r>
              <w:rPr>
                <w:color w:val="000000"/>
              </w:rPr>
              <w:t>年度累计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147</w:t>
            </w:r>
            <w:r>
              <w:rPr>
                <w:color w:val="000000"/>
              </w:rPr>
              <w:t>天（全市第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0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t>去年同期累计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  <w:r>
              <w:rPr>
                <w:lang w:val="en-US" w:eastAsia="zh-CN"/>
              </w:rPr>
              <w:t>天</w:t>
            </w:r>
            <w:r>
              <w:t>（全市第1名）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"/>
              <w:widowControl w:val="0"/>
              <w:bidi w:val="0"/>
              <w:ind w:firstLine="0"/>
              <w:jc w:val="center"/>
            </w:pPr>
            <w:r>
              <w:t>去年同期年度累计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Fonts w:eastAsia="宋体"/>
                <w:color w:val="FF0000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156</w:t>
            </w:r>
            <w:r>
              <w:rPr>
                <w:color w:val="auto"/>
                <w:lang w:val="en-US" w:eastAsia="zh-CN"/>
              </w:rPr>
              <w:t>天（全市第1名）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restart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t>PM</w:t>
            </w:r>
            <w:r>
              <w:rPr>
                <w:vertAlign w:val="subscript"/>
              </w:rPr>
              <w:t>10</w:t>
            </w:r>
          </w:p>
        </w:tc>
        <w:tc>
          <w:tcPr>
            <w:tcW w:w="1515" w:type="dxa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t>本月累计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26</w:t>
            </w:r>
            <w:r>
              <w:t>（全市第</w:t>
            </w:r>
            <w:r>
              <w:rPr>
                <w:lang w:val="en-US" w:eastAsia="zh-CN"/>
              </w:rPr>
              <w:t>3</w:t>
            </w:r>
            <w:r>
              <w:t>名）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t>202</w:t>
            </w:r>
            <w:r>
              <w:rPr>
                <w:lang w:val="en-US" w:eastAsia="zh-CN"/>
              </w:rPr>
              <w:t>1</w:t>
            </w:r>
            <w:r>
              <w:t>年度累计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80</w:t>
            </w:r>
            <w:r>
              <w:t>（全市第</w:t>
            </w:r>
            <w:r>
              <w:rPr>
                <w:lang w:val="en-US" w:eastAsia="zh-CN"/>
              </w:rPr>
              <w:t>1</w:t>
            </w:r>
            <w: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t>去年同期累计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32</w:t>
            </w:r>
            <w:r>
              <w:rPr>
                <w:lang w:val="en-US" w:eastAsia="zh-CN"/>
              </w:rPr>
              <w:t>（</w:t>
            </w:r>
            <w:r>
              <w:t>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t>名）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"/>
              <w:widowControl w:val="0"/>
              <w:bidi w:val="0"/>
              <w:ind w:firstLine="0"/>
              <w:jc w:val="center"/>
            </w:pPr>
            <w:r>
              <w:t>去年同期年度累计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rPr>
                <w:lang w:val="en-US" w:eastAsia="zh-CN"/>
              </w:rPr>
              <w:t>6</w:t>
            </w:r>
            <w:r>
              <w:rPr>
                <w:rFonts w:hint="eastAsia"/>
                <w:lang w:val="en-US" w:eastAsia="zh-CN"/>
              </w:rPr>
              <w:t>6</w:t>
            </w:r>
            <w:r>
              <w:t>（全市第</w:t>
            </w:r>
            <w:r>
              <w:rPr>
                <w:lang w:val="en-US" w:eastAsia="zh-CN"/>
              </w:rPr>
              <w:t>1</w:t>
            </w:r>
            <w: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70" w:type="dxa"/>
            <w:vMerge w:val="restart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t>PM</w:t>
            </w:r>
            <w:r>
              <w:rPr>
                <w:vertAlign w:val="subscript"/>
              </w:rPr>
              <w:t>2.5</w:t>
            </w:r>
          </w:p>
        </w:tc>
        <w:tc>
          <w:tcPr>
            <w:tcW w:w="1515" w:type="dxa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t>本月累计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16</w:t>
            </w:r>
            <w:r>
              <w:t>（全市第</w:t>
            </w:r>
            <w:r>
              <w:rPr>
                <w:rFonts w:hint="eastAsia"/>
                <w:lang w:val="en-US" w:eastAsia="zh-CN"/>
              </w:rPr>
              <w:t>5</w:t>
            </w:r>
            <w:r>
              <w:t>名）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t>202</w:t>
            </w:r>
            <w:r>
              <w:rPr>
                <w:lang w:val="en-US" w:eastAsia="zh-CN"/>
              </w:rPr>
              <w:t>1</w:t>
            </w:r>
            <w:r>
              <w:t>年度累计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rPr>
                <w:lang w:val="en-US" w:eastAsia="zh-CN"/>
              </w:rPr>
              <w:t>4</w:t>
            </w:r>
            <w:r>
              <w:rPr>
                <w:rFonts w:hint="eastAsia"/>
                <w:lang w:val="en-US" w:eastAsia="zh-CN"/>
              </w:rPr>
              <w:t>3</w:t>
            </w:r>
            <w:r>
              <w:t>（全市第</w:t>
            </w:r>
            <w:r>
              <w:rPr>
                <w:lang w:val="en-US" w:eastAsia="zh-CN"/>
              </w:rPr>
              <w:t>5</w:t>
            </w:r>
            <w: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t>去年同期累计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18</w:t>
            </w:r>
            <w: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t>名）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pStyle w:val="5"/>
              <w:widowControl w:val="0"/>
              <w:bidi w:val="0"/>
              <w:ind w:firstLine="0"/>
              <w:jc w:val="center"/>
            </w:pPr>
            <w:r>
              <w:t>去年同期年度累计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pStyle w:val="5"/>
              <w:widowControl w:val="0"/>
              <w:bidi w:val="0"/>
              <w:jc w:val="center"/>
            </w:pPr>
            <w:r>
              <w:rPr>
                <w:lang w:val="en-US" w:eastAsia="zh-CN"/>
              </w:rPr>
              <w:t>40</w:t>
            </w:r>
            <w:r>
              <w:t>（全市第</w:t>
            </w:r>
            <w:r>
              <w:rPr>
                <w:lang w:val="en-US" w:eastAsia="zh-CN"/>
              </w:rPr>
              <w:t>1</w:t>
            </w:r>
            <w:r>
              <w:t>名）</w:t>
            </w:r>
          </w:p>
        </w:tc>
      </w:tr>
    </w:tbl>
    <w:p>
      <w:pPr>
        <w:pStyle w:val="5"/>
        <w:bidi w:val="0"/>
        <w:jc w:val="center"/>
      </w:pPr>
    </w:p>
    <w:sectPr>
      <w:footerReference r:id="rId3" w:type="default"/>
      <w:pgSz w:w="11850" w:h="16783"/>
      <w:pgMar w:top="1440" w:right="1800" w:bottom="1440" w:left="1800" w:header="0" w:footer="964" w:gutter="0"/>
      <w:pgNumType w:fmt="decimal"/>
      <w:cols w:space="720" w:num="1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bidi w:val="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E7A6B"/>
    <w:rsid w:val="1B49673A"/>
    <w:rsid w:val="1EFE2150"/>
    <w:rsid w:val="23DE0003"/>
    <w:rsid w:val="3F3D0600"/>
    <w:rsid w:val="71E24F2E"/>
    <w:rsid w:val="76EA3D89"/>
    <w:rsid w:val="7A244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 w:val="0"/>
      <w:jc w:val="both"/>
    </w:pPr>
    <w:rPr>
      <w:rFonts w:ascii="Calibri" w:hAnsi="Calibri" w:eastAsia="宋体" w:cs="宋体"/>
      <w:sz w:val="21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="Calibri" w:hAnsi="Calibri" w:eastAsia="宋体" w:cs="宋体"/>
      <w:color w:val="auto"/>
      <w:kern w:val="2"/>
      <w:sz w:val="21"/>
      <w:szCs w:val="24"/>
      <w:lang w:val="en-US" w:eastAsia="zh-CN" w:bidi="ar-SA"/>
    </w:rPr>
  </w:style>
  <w:style w:type="paragraph" w:customStyle="1" w:styleId="6">
    <w:name w:val="标题 11"/>
    <w:basedOn w:val="5"/>
    <w:next w:val="5"/>
    <w:qFormat/>
    <w:uiPriority w:val="0"/>
    <w:pPr>
      <w:keepNext/>
      <w:keepLines/>
      <w:spacing w:before="340" w:after="330" w:line="576" w:lineRule="auto"/>
      <w:outlineLvl w:val="0"/>
    </w:pPr>
    <w:rPr>
      <w:b/>
      <w:kern w:val="2"/>
      <w:sz w:val="44"/>
    </w:rPr>
  </w:style>
  <w:style w:type="paragraph" w:customStyle="1" w:styleId="7">
    <w:name w:val="页脚1"/>
    <w:basedOn w:val="5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327</Words>
  <Characters>436</Characters>
  <Paragraphs>133</Paragraphs>
  <TotalTime>3402</TotalTime>
  <ScaleCrop>false</ScaleCrop>
  <LinksUpToDate>false</LinksUpToDate>
  <CharactersWithSpaces>471</CharactersWithSpaces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2020-01-29T00:53:00Z</dcterms:created>
  <dc:creator>HIAPAD</dc:creator>
  <cp:lastModifiedBy>付某人</cp:lastModifiedBy>
  <cp:lastPrinted>2019-10-14T00:33:00Z</cp:lastPrinted>
  <dcterms:modified xsi:type="dcterms:W3CDTF">2021-07-08T09:04:57Z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0C788E519E134AAC9591E47B01E7CA65</vt:lpwstr>
  </property>
  <property fmtid="{D5CDD505-2E9C-101B-9397-08002B2CF9AE}" pid="3" name="KSOProductBuildVer">
    <vt:lpwstr>2052-11.1.0.10463</vt:lpwstr>
  </property>
</Properties>
</file>