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乡级金融服务站工作职责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1、政策</w:t>
      </w:r>
      <w:r>
        <w:rPr>
          <w:rFonts w:hint="eastAsia" w:ascii="仿宋" w:hAnsi="仿宋" w:eastAsia="仿宋" w:cs="仿宋"/>
          <w:sz w:val="32"/>
          <w:szCs w:val="32"/>
        </w:rPr>
        <w:t>宣介:做好辖区内新型农业经营主体的政策宣介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和业务培训工作。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信息管理:做好辖区内新型农业经营主体信息采集、录入、数据更新管理等相关工作。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风险防范:发挥村金融服务部和基层熟人网络作用,配合做好担保贷款项目的前期调查工作;按县级金融服务中心要求,做好担保贷款项目季度、到期前30天的贷后管理并录入系统。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风险化解:做好本辖区内不良贷款清收处置工作;对有还款意愿但暂时无还款能力的借款人,积极协调镇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民调解委员会运用调解等方式化解风险;对恶意逃废债行加大催收和惩戒力度。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政策落实:落实好政策,做好上情下达、下情上达等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临时工作:县级金融服务中心下达的其他工作任务。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506ED"/>
    <w:rsid w:val="4ECE6161"/>
    <w:rsid w:val="50A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未,颂</cp:lastModifiedBy>
  <dcterms:modified xsi:type="dcterms:W3CDTF">2021-09-24T02:50:05Z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8F3C50DBCAF545F2BDE8F91C6B47417E</vt:lpwstr>
  </property>
</Properties>
</file>